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E673F" w14:textId="66A6F48E" w:rsidR="00794E61" w:rsidRPr="00794E61" w:rsidRDefault="00794E61" w:rsidP="00794E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</w:t>
      </w:r>
      <w:r w:rsidRPr="00CA6F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cquiring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R</w:t>
      </w:r>
      <w:r w:rsidRPr="00CA6F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esearch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F</w:t>
      </w:r>
      <w:r w:rsidRPr="00CA6F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acilities</w:t>
      </w:r>
    </w:p>
    <w:p w14:paraId="3276ADD8" w14:textId="72D75404" w:rsidR="00CA6F24" w:rsidRPr="00CA6F24" w:rsidRDefault="00CA6F24" w:rsidP="00CA6F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E6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</w:t>
      </w:r>
      <w:r w:rsidRPr="00CA6F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iscuss two options for acquiring research facilities -- build/renovate or lease available to the private and public sectors. Identify specific benefits of both approaches with regards to sustainability. Using the following table and additional expository narrative</w:t>
      </w:r>
      <w:r w:rsidRPr="00CA6F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</w:t>
      </w:r>
      <w:r w:rsidR="00794E6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Paper</w:t>
      </w:r>
      <w:r w:rsidRPr="00CA6F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r w:rsidRPr="00CA6F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summarize the benefits for both approaches.</w:t>
      </w:r>
    </w:p>
    <w:p w14:paraId="0DF80DA4" w14:textId="77777777" w:rsidR="00CA6F24" w:rsidRPr="00CA6F24" w:rsidRDefault="00CA6F24" w:rsidP="00CA6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59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8"/>
        <w:gridCol w:w="2200"/>
        <w:gridCol w:w="2197"/>
      </w:tblGrid>
      <w:tr w:rsidR="00CA6F24" w:rsidRPr="00CA6F24" w14:paraId="4B680E80" w14:textId="77777777" w:rsidTr="00CA6F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2FFBB6" w14:textId="77777777" w:rsidR="00CA6F24" w:rsidRPr="00CA6F24" w:rsidRDefault="00CA6F24" w:rsidP="00CA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Benefits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D83242" w14:textId="77777777" w:rsidR="00CA6F24" w:rsidRPr="00CA6F24" w:rsidRDefault="00CA6F24" w:rsidP="00CA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Build/Renovate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0CF036" w14:textId="77777777" w:rsidR="00CA6F24" w:rsidRPr="00CA6F24" w:rsidRDefault="00CA6F24" w:rsidP="00CA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Lease</w:t>
            </w:r>
          </w:p>
        </w:tc>
      </w:tr>
      <w:tr w:rsidR="00CA6F24" w:rsidRPr="00CA6F24" w14:paraId="69F8D9DC" w14:textId="77777777" w:rsidTr="00CA6F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117E4" w14:textId="77777777" w:rsidR="00CA6F24" w:rsidRPr="00CA6F24" w:rsidRDefault="00CA6F24" w:rsidP="00CA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FE8C67" w14:textId="77777777" w:rsidR="00CA6F24" w:rsidRPr="00CA6F24" w:rsidRDefault="00CA6F24" w:rsidP="00CA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5D0795" w14:textId="77777777" w:rsidR="00CA6F24" w:rsidRPr="00CA6F24" w:rsidRDefault="00CA6F24" w:rsidP="00CA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                        </w:t>
            </w:r>
          </w:p>
        </w:tc>
      </w:tr>
      <w:tr w:rsidR="00CA6F24" w:rsidRPr="00CA6F24" w14:paraId="76390C8F" w14:textId="77777777" w:rsidTr="00CA6F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ABB25" w14:textId="77777777" w:rsidR="00CA6F24" w:rsidRPr="00CA6F24" w:rsidRDefault="00CA6F24" w:rsidP="00CA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A3556" w14:textId="77777777" w:rsidR="00CA6F24" w:rsidRPr="00CA6F24" w:rsidRDefault="00CA6F24" w:rsidP="00CA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5CF53D" w14:textId="77777777" w:rsidR="00CA6F24" w:rsidRPr="00CA6F24" w:rsidRDefault="00CA6F24" w:rsidP="00CA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26AAC893" w14:textId="61DA2BD1" w:rsidR="00CA6F24" w:rsidRDefault="00CA6F24">
      <w:pPr>
        <w:rPr>
          <w:rFonts w:ascii="Times New Roman" w:hAnsi="Times New Roman" w:cs="Times New Roman"/>
          <w:sz w:val="24"/>
          <w:szCs w:val="24"/>
        </w:rPr>
      </w:pPr>
    </w:p>
    <w:p w14:paraId="09CFCD8A" w14:textId="552844BE" w:rsidR="00A72352" w:rsidRDefault="00794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into consideration the following.</w:t>
      </w:r>
      <w:bookmarkStart w:id="0" w:name="_GoBack"/>
      <w:bookmarkEnd w:id="0"/>
    </w:p>
    <w:p w14:paraId="146E66D9" w14:textId="50CEBBF4" w:rsidR="00C242B9" w:rsidRPr="00C242B9" w:rsidRDefault="00C242B9" w:rsidP="00C242B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Renovation and Leasing </w:t>
      </w:r>
    </w:p>
    <w:p w14:paraId="6A6C4CF9" w14:textId="1A2C1F01" w:rsidR="00C242B9" w:rsidRPr="00C242B9" w:rsidRDefault="00C242B9" w:rsidP="00C242B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Converting Existing Buildings to Laboratory Use </w:t>
      </w:r>
    </w:p>
    <w:p w14:paraId="03BFD39D" w14:textId="6515F3E1" w:rsidR="00C242B9" w:rsidRPr="00794E61" w:rsidRDefault="00C242B9" w:rsidP="00794E6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Benefits of converting an existing building to laboratory use compared to new construction, conserving embodied energy and reducing waste, adaptive reuse and LEED, characteristics of a suitable existing building for conversion to laboratory use, evaluation of an existing building for conversion to laboratory use</w:t>
      </w:r>
    </w:p>
    <w:p w14:paraId="4DDD3530" w14:textId="5146460C" w:rsidR="00C242B9" w:rsidRPr="00C242B9" w:rsidRDefault="00C242B9" w:rsidP="00C242B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Leasing Laboratory Space in Multitenant Buildings </w:t>
      </w:r>
    </w:p>
    <w:p w14:paraId="3A4E5E09" w14:textId="77777777" w:rsidR="00C242B9" w:rsidRPr="00C242B9" w:rsidRDefault="00C242B9" w:rsidP="00C242B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Sustainability issues unique to multitenant buildings, the </w:t>
      </w:r>
      <w:proofErr w:type="gramStart"/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landlords</w:t>
      </w:r>
      <w:proofErr w:type="gramEnd"/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motivation, the tenant’s motivation, identify grants and rebates, the LEED Green Building Rating System</w:t>
      </w:r>
    </w:p>
    <w:p w14:paraId="65777131" w14:textId="40B7AFE5" w:rsidR="00C242B9" w:rsidRPr="00794E61" w:rsidRDefault="00C242B9" w:rsidP="00794E6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Renovating Previously Occupied Laboratory </w:t>
      </w:r>
    </w:p>
    <w:p w14:paraId="5DFD30E0" w14:textId="77777777" w:rsidR="00794E61" w:rsidRPr="00C242B9" w:rsidRDefault="00794E61" w:rsidP="00794E6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Examples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of laboratories that have been converted out of previously occupied buildings.</w:t>
      </w:r>
    </w:p>
    <w:p w14:paraId="5F237D3D" w14:textId="5548F464" w:rsidR="00C242B9" w:rsidRPr="00CA6F24" w:rsidRDefault="00794E61" w:rsidP="00794E61">
      <w:pPr>
        <w:rPr>
          <w:rFonts w:ascii="Times New Roman" w:hAnsi="Times New Roman" w:cs="Times New Roman"/>
          <w:sz w:val="24"/>
          <w:szCs w:val="24"/>
        </w:rPr>
      </w:pPr>
      <w:r w:rsidRPr="00C242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Examples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of laboratories that were constructed for the purpose of being a laboratory.</w:t>
      </w:r>
    </w:p>
    <w:sectPr w:rsidR="00C242B9" w:rsidRPr="00CA6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40399"/>
    <w:multiLevelType w:val="multilevel"/>
    <w:tmpl w:val="5CC0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454CEA"/>
    <w:multiLevelType w:val="hybridMultilevel"/>
    <w:tmpl w:val="DAA468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24"/>
    <w:rsid w:val="00794E61"/>
    <w:rsid w:val="00A72352"/>
    <w:rsid w:val="00C242B9"/>
    <w:rsid w:val="00CA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28A4"/>
  <w15:chartTrackingRefBased/>
  <w15:docId w15:val="{0715B8E9-715E-4A2B-9610-A74428BB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6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6F24"/>
    <w:rPr>
      <w:b/>
      <w:bCs/>
    </w:rPr>
  </w:style>
  <w:style w:type="character" w:styleId="Emphasis">
    <w:name w:val="Emphasis"/>
    <w:basedOn w:val="DefaultParagraphFont"/>
    <w:uiPriority w:val="20"/>
    <w:qFormat/>
    <w:rsid w:val="00C242B9"/>
    <w:rPr>
      <w:i/>
      <w:iCs/>
    </w:rPr>
  </w:style>
  <w:style w:type="paragraph" w:styleId="ListParagraph">
    <w:name w:val="List Paragraph"/>
    <w:basedOn w:val="Normal"/>
    <w:uiPriority w:val="34"/>
    <w:qFormat/>
    <w:rsid w:val="00C24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 Thuringer</dc:creator>
  <cp:keywords/>
  <dc:description/>
  <cp:lastModifiedBy>kyle thuringer</cp:lastModifiedBy>
  <cp:revision>2</cp:revision>
  <dcterms:created xsi:type="dcterms:W3CDTF">2019-12-07T14:42:00Z</dcterms:created>
  <dcterms:modified xsi:type="dcterms:W3CDTF">2019-12-07T16:03:00Z</dcterms:modified>
</cp:coreProperties>
</file>